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123E" w14:textId="7FE0DDFD" w:rsidR="00FD56E9" w:rsidRPr="00643089" w:rsidRDefault="00F9669E" w:rsidP="008D0DB7">
      <w:pPr>
        <w:ind w:left="426" w:right="849"/>
        <w:jc w:val="center"/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СПЕЦИАЛЬНАЯ ОЦЕНКА УСЛОВИЙ ТРУДА</w:t>
      </w:r>
      <w:r w:rsidR="00841069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 xml:space="preserve"> (СОУТ)</w:t>
      </w:r>
      <w:r w:rsidR="00D013E5" w:rsidRPr="00D013E5">
        <w:rPr>
          <w:noProof/>
          <w:lang w:eastAsia="ru-RU"/>
        </w:rPr>
        <w:t xml:space="preserve"> </w:t>
      </w:r>
    </w:p>
    <w:p w14:paraId="5A1D4A2B" w14:textId="70B131FC" w:rsidR="003B4904" w:rsidRDefault="00D013E5" w:rsidP="00E909A5">
      <w:pPr>
        <w:pStyle w:val="a5"/>
        <w:ind w:left="567" w:right="84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1564EB" wp14:editId="58792F8E">
            <wp:simplePos x="0" y="0"/>
            <wp:positionH relativeFrom="column">
              <wp:posOffset>4615180</wp:posOffset>
            </wp:positionH>
            <wp:positionV relativeFrom="paragraph">
              <wp:posOffset>4445</wp:posOffset>
            </wp:positionV>
            <wp:extent cx="2267585" cy="1440180"/>
            <wp:effectExtent l="0" t="0" r="0" b="0"/>
            <wp:wrapSquare wrapText="bothSides"/>
            <wp:docPr id="1" name="Рисунок 1" descr="https://avatars.mds.yandex.net/i?id=f50893b0679d481dc36b206d0d974dee96c931aa-823135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50893b0679d481dc36b206d0d974dee96c931aa-823135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069" w:rsidRPr="00841069">
        <w:rPr>
          <w:rFonts w:ascii="Times New Roman" w:hAnsi="Times New Roman" w:cs="Times New Roman"/>
          <w:sz w:val="28"/>
          <w:szCs w:val="28"/>
        </w:rPr>
        <w:t xml:space="preserve">В </w:t>
      </w:r>
      <w:r w:rsidR="00841069">
        <w:rPr>
          <w:rFonts w:ascii="Times New Roman" w:hAnsi="Times New Roman" w:cs="Times New Roman"/>
          <w:sz w:val="28"/>
          <w:szCs w:val="28"/>
        </w:rPr>
        <w:t xml:space="preserve">соответствии со статьёй 214 Трудового кодекса Российской Федерации на работодателя возлагаются обязанности по обеспечению безопасных условий и охраны труда. </w:t>
      </w:r>
    </w:p>
    <w:p w14:paraId="165A12F6" w14:textId="77777777" w:rsidR="00E909A5" w:rsidRPr="00E909A5" w:rsidRDefault="00E909A5" w:rsidP="00E909A5">
      <w:pPr>
        <w:pStyle w:val="a5"/>
        <w:ind w:left="567" w:right="849"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26D5195" w14:textId="5EA8FEF6" w:rsidR="00841069" w:rsidRDefault="00841069" w:rsidP="00E909A5">
      <w:pPr>
        <w:pStyle w:val="a5"/>
        <w:ind w:left="567" w:right="84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специальной оценки </w:t>
      </w:r>
      <w:r w:rsidR="00E909A5">
        <w:rPr>
          <w:rFonts w:ascii="Times New Roman" w:hAnsi="Times New Roman" w:cs="Times New Roman"/>
          <w:sz w:val="28"/>
          <w:szCs w:val="28"/>
        </w:rPr>
        <w:t>условий труда на рабочих местах является одним из мероприятий, которое проводит работодатель для исполнения этой обязанности.</w:t>
      </w:r>
    </w:p>
    <w:p w14:paraId="68D2603B" w14:textId="25023AA3" w:rsidR="00E909A5" w:rsidRDefault="00E909A5" w:rsidP="00E909A5">
      <w:pPr>
        <w:pStyle w:val="a5"/>
        <w:ind w:left="567" w:right="84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1903C6E">
          <v:rect id="_x0000_s1028" style="position:absolute;left:0;text-align:left;margin-left:24.2pt;margin-top:10.35pt;width:519.6pt;height:81pt;z-index:251656192" fillcolor="white [3201]" strokecolor="#5b9bd5 [3204]" strokeweight="5pt">
            <v:stroke linestyle="thickThin"/>
            <v:shadow color="#868686"/>
            <v:textbox>
              <w:txbxContent>
                <w:p w14:paraId="30827C2B" w14:textId="5961A15D" w:rsidR="00E909A5" w:rsidRPr="003D3457" w:rsidRDefault="00E909A5" w:rsidP="00E909A5">
                  <w:pPr>
                    <w:pStyle w:val="a5"/>
                    <w:ind w:right="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36B8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Специальная оценка условий труда</w:t>
                  </w:r>
                  <w:r w:rsidRPr="003D34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  <w:r w:rsidR="00A236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это единый комплекс процедур, выполняемых последовательно и направленных на выявление и оценку уровня влияния опасных и вредных факторов производственной среды в ходе трудового процесса на работников</w:t>
                  </w:r>
                </w:p>
                <w:p w14:paraId="41E2AFE3" w14:textId="77777777" w:rsidR="00E909A5" w:rsidRDefault="00E909A5"/>
              </w:txbxContent>
            </v:textbox>
          </v:rect>
        </w:pict>
      </w:r>
    </w:p>
    <w:p w14:paraId="69C2AC9F" w14:textId="77777777" w:rsidR="00E909A5" w:rsidRPr="00841069" w:rsidRDefault="00E909A5" w:rsidP="00E909A5">
      <w:pPr>
        <w:pStyle w:val="a5"/>
        <w:ind w:left="567" w:right="849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D71656F" w14:textId="77777777" w:rsidR="00841069" w:rsidRDefault="003D3457" w:rsidP="003D3457">
      <w:pPr>
        <w:pStyle w:val="a5"/>
        <w:ind w:left="426" w:right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56B3128" w14:textId="77777777" w:rsidR="00E909A5" w:rsidRDefault="00E909A5" w:rsidP="003D3457">
      <w:pPr>
        <w:pStyle w:val="a5"/>
        <w:ind w:left="426" w:right="849"/>
        <w:jc w:val="both"/>
        <w:rPr>
          <w:rFonts w:ascii="Times New Roman" w:hAnsi="Times New Roman" w:cs="Times New Roman"/>
          <w:sz w:val="28"/>
          <w:szCs w:val="28"/>
        </w:rPr>
      </w:pPr>
    </w:p>
    <w:p w14:paraId="2C49CCA2" w14:textId="77777777" w:rsidR="00E909A5" w:rsidRDefault="00E909A5" w:rsidP="003D3457">
      <w:pPr>
        <w:pStyle w:val="a5"/>
        <w:ind w:left="426" w:right="849"/>
        <w:jc w:val="both"/>
        <w:rPr>
          <w:rFonts w:ascii="Times New Roman" w:hAnsi="Times New Roman" w:cs="Times New Roman"/>
          <w:sz w:val="28"/>
          <w:szCs w:val="28"/>
        </w:rPr>
      </w:pPr>
    </w:p>
    <w:p w14:paraId="263C3B7E" w14:textId="77777777" w:rsidR="00E909A5" w:rsidRDefault="00E909A5" w:rsidP="003D3457">
      <w:pPr>
        <w:pStyle w:val="a5"/>
        <w:ind w:left="426" w:right="849"/>
        <w:jc w:val="both"/>
        <w:rPr>
          <w:rFonts w:ascii="Times New Roman" w:hAnsi="Times New Roman" w:cs="Times New Roman"/>
          <w:sz w:val="28"/>
          <w:szCs w:val="28"/>
        </w:rPr>
      </w:pPr>
    </w:p>
    <w:p w14:paraId="6FC3260A" w14:textId="77777777" w:rsidR="00E909A5" w:rsidRPr="00E909A5" w:rsidRDefault="00E909A5" w:rsidP="003D3457">
      <w:pPr>
        <w:pStyle w:val="a5"/>
        <w:ind w:left="426" w:right="849"/>
        <w:jc w:val="both"/>
        <w:rPr>
          <w:rFonts w:ascii="Times New Roman" w:hAnsi="Times New Roman" w:cs="Times New Roman"/>
          <w:sz w:val="16"/>
          <w:szCs w:val="16"/>
        </w:rPr>
      </w:pPr>
    </w:p>
    <w:p w14:paraId="713A03A1" w14:textId="06206F28" w:rsidR="00A15E11" w:rsidRDefault="00E909A5" w:rsidP="003B4904">
      <w:pPr>
        <w:pStyle w:val="a5"/>
        <w:ind w:left="567" w:right="84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Специальная оценка условий труда</w:t>
      </w:r>
      <w:r w:rsidR="00A236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(СОУТ)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проводится работодателем и организацией или организациями, привлекаемыми работодателем на основании гражданско-правового договора.</w:t>
      </w:r>
    </w:p>
    <w:p w14:paraId="540F1604" w14:textId="77777777" w:rsidR="00A236B8" w:rsidRPr="00A236B8" w:rsidRDefault="00A236B8" w:rsidP="003B4904">
      <w:pPr>
        <w:pStyle w:val="a5"/>
        <w:ind w:left="567" w:right="849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117849B3" w14:textId="33442F85" w:rsidR="00A236B8" w:rsidRPr="00A236B8" w:rsidRDefault="00885431" w:rsidP="00A236B8">
      <w:pPr>
        <w:pStyle w:val="a5"/>
        <w:ind w:left="567" w:right="849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Cs/>
          <w:noProof/>
          <w:color w:val="0070C0"/>
          <w:sz w:val="28"/>
          <w:szCs w:val="28"/>
          <w:lang w:eastAsia="ru-RU"/>
        </w:rPr>
        <w:pict w14:anchorId="6CEDE8E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09.4pt;margin-top:15.85pt;width:155.4pt;height:20.8pt;flip:x;z-index:251659264" o:connectortype="straight" strokecolor="#2e74b5 [2404]" strokeweight="2.25pt">
            <v:stroke endarrow="block"/>
          </v:shape>
        </w:pict>
      </w:r>
      <w:r w:rsidR="00D2713A">
        <w:rPr>
          <w:rFonts w:ascii="Times New Roman" w:hAnsi="Times New Roman" w:cs="Times New Roman"/>
          <w:b/>
          <w:iCs/>
          <w:noProof/>
          <w:color w:val="0070C0"/>
          <w:sz w:val="28"/>
          <w:szCs w:val="28"/>
          <w:lang w:eastAsia="ru-RU"/>
        </w:rPr>
        <w:pict w14:anchorId="4A5CE75F">
          <v:shape id="_x0000_s1032" type="#_x0000_t32" style="position:absolute;left:0;text-align:left;margin-left:265.85pt;margin-top:15.05pt;width:174.6pt;height:16.8pt;z-index:251660288" o:connectortype="straight" strokecolor="#0070c0" strokeweight="2.25pt">
            <v:stroke endarrow="block"/>
          </v:shape>
        </w:pict>
      </w:r>
      <w:r w:rsidR="00A236B8" w:rsidRPr="00A236B8">
        <w:rPr>
          <w:rFonts w:ascii="Times New Roman" w:hAnsi="Times New Roman" w:cs="Times New Roman"/>
          <w:b/>
          <w:iCs/>
          <w:color w:val="0070C0"/>
          <w:sz w:val="28"/>
          <w:szCs w:val="28"/>
          <w:u w:val="single"/>
          <w:shd w:val="clear" w:color="auto" w:fill="FFFFFF"/>
        </w:rPr>
        <w:t>ПЕРИОДИЧНОСТЬ ПРОВЕДЕНИЯ СОУТ</w:t>
      </w:r>
    </w:p>
    <w:p w14:paraId="5094074B" w14:textId="13E42AA1" w:rsidR="00A236B8" w:rsidRDefault="00D2713A" w:rsidP="00A236B8">
      <w:pPr>
        <w:pStyle w:val="a5"/>
        <w:ind w:left="567" w:right="849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noProof/>
          <w:color w:val="0070C0"/>
          <w:sz w:val="28"/>
          <w:szCs w:val="28"/>
          <w:lang w:eastAsia="ru-RU"/>
        </w:rPr>
        <w:pict w14:anchorId="57C64502">
          <v:oval id="_x0000_s1030" style="position:absolute;left:0;text-align:left;margin-left:315.8pt;margin-top:16.35pt;width:213pt;height:53.4pt;z-index:251658240" fillcolor="#9cc2e5 [1940]" strokecolor="#9cc2e5 [1940]" strokeweight="1pt">
            <v:fill color2="#deeaf6 [660]" angle="-45" focus="-50%" type="gradient"/>
            <v:shadow on="t" type="perspective" color="#1f4d78 [1604]" opacity=".5" offset="1pt" offset2="-3pt"/>
            <v:textbox>
              <w:txbxContent>
                <w:p w14:paraId="3FD130EE" w14:textId="666B9122" w:rsidR="00A236B8" w:rsidRPr="00D2713A" w:rsidRDefault="00D2713A" w:rsidP="00A236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A236B8" w:rsidRPr="00D2713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ри изменении условий труда</w:t>
                  </w:r>
                </w:p>
              </w:txbxContent>
            </v:textbox>
          </v:oval>
        </w:pict>
      </w:r>
    </w:p>
    <w:p w14:paraId="59E8BAAA" w14:textId="37813AC7" w:rsidR="00A236B8" w:rsidRDefault="00D2713A" w:rsidP="00A236B8">
      <w:pPr>
        <w:pStyle w:val="a5"/>
        <w:ind w:left="567" w:right="849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noProof/>
          <w:color w:val="0070C0"/>
          <w:sz w:val="28"/>
          <w:szCs w:val="28"/>
          <w:lang w:eastAsia="ru-RU"/>
        </w:rPr>
        <w:pict w14:anchorId="6EB354F8">
          <v:oval id="_x0000_s1029" style="position:absolute;left:0;text-align:left;margin-left:27.2pt;margin-top:3.85pt;width:206.4pt;height:52.2pt;z-index:251657216" fillcolor="#9cc2e5 [1940]" strokecolor="#9cc2e5 [1940]" strokeweight="1pt">
            <v:fill color2="#deeaf6 [660]" angle="-45" focus="-50%" type="gradient"/>
            <v:shadow on="t" type="perspective" color="#1f4d78 [1604]" opacity=".5" offset="1pt" offset2="-3pt"/>
            <v:textbox>
              <w:txbxContent>
                <w:p w14:paraId="68332687" w14:textId="77777777" w:rsidR="00D2713A" w:rsidRDefault="00D2713A" w:rsidP="00A236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</w:t>
                  </w:r>
                  <w:r w:rsidR="00A236B8" w:rsidRPr="00D2713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 реже чем 1 раз </w:t>
                  </w:r>
                </w:p>
                <w:p w14:paraId="1BD5C61E" w14:textId="0D59E835" w:rsidR="00A236B8" w:rsidRPr="00D2713A" w:rsidRDefault="00A236B8" w:rsidP="00A236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2713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5 лет</w:t>
                  </w:r>
                </w:p>
              </w:txbxContent>
            </v:textbox>
          </v:oval>
        </w:pict>
      </w:r>
    </w:p>
    <w:p w14:paraId="504DE43F" w14:textId="286FAFC1" w:rsidR="00A236B8" w:rsidRPr="00A236B8" w:rsidRDefault="00A236B8" w:rsidP="00A236B8">
      <w:pPr>
        <w:pStyle w:val="a5"/>
        <w:ind w:left="567" w:right="849"/>
        <w:jc w:val="center"/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</w:pPr>
    </w:p>
    <w:p w14:paraId="0F129206" w14:textId="77777777" w:rsidR="00A236B8" w:rsidRPr="00A236B8" w:rsidRDefault="00A236B8" w:rsidP="003B4904">
      <w:pPr>
        <w:pStyle w:val="a5"/>
        <w:ind w:left="567" w:right="849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70CF9BF0" w14:textId="77777777" w:rsidR="00A236B8" w:rsidRDefault="00A236B8" w:rsidP="003B4904">
      <w:pPr>
        <w:pStyle w:val="a5"/>
        <w:ind w:left="567" w:right="84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</w:p>
    <w:p w14:paraId="39E8EB26" w14:textId="77777777" w:rsidR="00A236B8" w:rsidRDefault="00A236B8" w:rsidP="003B4904">
      <w:pPr>
        <w:pStyle w:val="a5"/>
        <w:ind w:left="567" w:right="84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7866D70B" w14:textId="77777777" w:rsidR="00D013E5" w:rsidRDefault="00D013E5" w:rsidP="00D2713A">
      <w:pPr>
        <w:pStyle w:val="a5"/>
        <w:ind w:left="567" w:right="84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15E5C" w14:textId="593F9C95" w:rsidR="00D013E5" w:rsidRPr="00D013E5" w:rsidRDefault="00D013E5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01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может потребоваться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D013E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внеплановой оценки</w:t>
      </w:r>
      <w:r w:rsidRPr="00D013E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условий труда</w:t>
      </w:r>
      <w:r w:rsidRPr="00D013E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14:paraId="3B0DE835" w14:textId="77777777" w:rsidR="00D013E5" w:rsidRPr="00D013E5" w:rsidRDefault="00D013E5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163EA8DE" w14:textId="0F452FFA" w:rsidR="00545DE6" w:rsidRDefault="00D013E5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013E5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 </w:t>
      </w:r>
      <w:hyperlink r:id="rId7" w:tgtFrame="_blank" w:history="1">
        <w:r w:rsidRPr="00D013E5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Федеральному закону от 28 декабря 2013 года № 426</w:t>
        </w:r>
      </w:hyperlink>
      <w:r>
        <w:rPr>
          <w:rStyle w:val="a8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="00D2713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пециальная оценка условий труда проводится работодателем на всех рабочих местах работников</w:t>
      </w:r>
      <w:r w:rsidR="00545D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за исключением рабочих мест, на которые выдана декларация соответствия условий труда государственным требованиям охраны труда.</w:t>
      </w:r>
    </w:p>
    <w:p w14:paraId="6121A286" w14:textId="77777777" w:rsidR="00545DE6" w:rsidRPr="00545DE6" w:rsidRDefault="00545DE6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53C2F611" w14:textId="77777777" w:rsidR="00545DE6" w:rsidRPr="00545DE6" w:rsidRDefault="00D2713A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45DE6" w:rsidRPr="00545DE6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>СОУТ НЕ ПРОВОДИТСЯ В ОТНОШЕНИИ УСЛОВИЙ ТРУДА:</w:t>
      </w:r>
    </w:p>
    <w:p w14:paraId="6B44C801" w14:textId="77777777" w:rsidR="00545DE6" w:rsidRPr="00545DE6" w:rsidRDefault="00545DE6" w:rsidP="00D2713A">
      <w:pPr>
        <w:pStyle w:val="a5"/>
        <w:ind w:left="567" w:right="849" w:firstLine="284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71D3EBF3" w14:textId="4C0AAECC" w:rsidR="00D2713A" w:rsidRDefault="00D2713A" w:rsidP="00D2713A">
      <w:pPr>
        <w:pStyle w:val="a5"/>
        <w:numPr>
          <w:ilvl w:val="0"/>
          <w:numId w:val="47"/>
        </w:numPr>
        <w:tabs>
          <w:tab w:val="left" w:pos="1134"/>
        </w:tabs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надомников;</w:t>
      </w:r>
    </w:p>
    <w:p w14:paraId="0FD92EA0" w14:textId="2698AAC0" w:rsidR="00D2713A" w:rsidRDefault="00D2713A" w:rsidP="00D2713A">
      <w:pPr>
        <w:pStyle w:val="a5"/>
        <w:numPr>
          <w:ilvl w:val="0"/>
          <w:numId w:val="47"/>
        </w:numPr>
        <w:tabs>
          <w:tab w:val="left" w:pos="1134"/>
        </w:tabs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дистанционных работников;</w:t>
      </w:r>
    </w:p>
    <w:p w14:paraId="75731BA2" w14:textId="4A53B531" w:rsidR="00A236B8" w:rsidRDefault="00D2713A" w:rsidP="00D2713A">
      <w:pPr>
        <w:pStyle w:val="a5"/>
        <w:numPr>
          <w:ilvl w:val="0"/>
          <w:numId w:val="47"/>
        </w:numPr>
        <w:tabs>
          <w:tab w:val="left" w:pos="1134"/>
        </w:tabs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D2713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работников, вступивших в трудовые отношения с работодателями - физическими лицами, не являющимися ин</w:t>
      </w:r>
      <w:r w:rsidR="00545D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дивидуальными предпринимателями;</w:t>
      </w:r>
    </w:p>
    <w:p w14:paraId="14B6F7F9" w14:textId="1EC44982" w:rsidR="00545DE6" w:rsidRDefault="00545DE6" w:rsidP="00D2713A">
      <w:pPr>
        <w:pStyle w:val="a5"/>
        <w:numPr>
          <w:ilvl w:val="0"/>
          <w:numId w:val="47"/>
        </w:numPr>
        <w:tabs>
          <w:tab w:val="left" w:pos="1134"/>
        </w:tabs>
        <w:ind w:left="567" w:right="849"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работников, которые трудятся в религиозных организациях.</w:t>
      </w:r>
    </w:p>
    <w:p w14:paraId="436C7FC6" w14:textId="77777777" w:rsidR="00545DE6" w:rsidRPr="00545DE6" w:rsidRDefault="00545DE6" w:rsidP="00545DE6">
      <w:pPr>
        <w:pStyle w:val="a5"/>
        <w:tabs>
          <w:tab w:val="left" w:pos="1134"/>
        </w:tabs>
        <w:ind w:left="851" w:right="849"/>
        <w:jc w:val="both"/>
        <w:rPr>
          <w:rFonts w:ascii="Times New Roman" w:hAnsi="Times New Roman" w:cs="Times New Roman"/>
          <w:iCs/>
          <w:sz w:val="16"/>
          <w:szCs w:val="16"/>
          <w:shd w:val="clear" w:color="auto" w:fill="FFFFFF"/>
        </w:rPr>
      </w:pPr>
    </w:p>
    <w:p w14:paraId="4651C3CE" w14:textId="0873BF56" w:rsidR="00E909A5" w:rsidRDefault="00A236B8" w:rsidP="003B4904">
      <w:pPr>
        <w:pStyle w:val="a5"/>
        <w:ind w:left="567" w:right="849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r w:rsidR="009021C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Pr="00545DE6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>ДЛЯ ЧЕГО НУЖНО ПРОВОДИТЬ СОУТ?</w:t>
      </w:r>
    </w:p>
    <w:p w14:paraId="2B8A03D9" w14:textId="77777777" w:rsidR="00545DE6" w:rsidRPr="00545DE6" w:rsidRDefault="00545DE6" w:rsidP="003B4904">
      <w:pPr>
        <w:pStyle w:val="a5"/>
        <w:ind w:left="567" w:right="849"/>
        <w:jc w:val="both"/>
        <w:rPr>
          <w:rFonts w:ascii="Times New Roman" w:hAnsi="Times New Roman" w:cs="Times New Roman"/>
          <w:b/>
          <w:iCs/>
          <w:color w:val="0070C0"/>
          <w:sz w:val="16"/>
          <w:szCs w:val="16"/>
          <w:shd w:val="clear" w:color="auto" w:fill="FFFFFF"/>
        </w:rPr>
      </w:pPr>
    </w:p>
    <w:p w14:paraId="23348B1B" w14:textId="77777777" w:rsidR="00545DE6" w:rsidRDefault="00545DE6" w:rsidP="00545DE6">
      <w:pPr>
        <w:pStyle w:val="a5"/>
        <w:ind w:left="567" w:right="7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Проведение специальной оценки условий труда на рабочих местах </w:t>
      </w:r>
      <w:r w:rsidRPr="00545DE6">
        <w:rPr>
          <w:rFonts w:ascii="Times New Roman" w:hAnsi="Times New Roman" w:cs="Times New Roman"/>
          <w:sz w:val="28"/>
          <w:szCs w:val="28"/>
          <w:lang w:eastAsia="ru-RU"/>
        </w:rPr>
        <w:t>позволяет выяви</w:t>
      </w:r>
      <w:r w:rsidR="00A15E11" w:rsidRPr="00545DE6">
        <w:rPr>
          <w:rFonts w:ascii="Times New Roman" w:hAnsi="Times New Roman" w:cs="Times New Roman"/>
          <w:sz w:val="28"/>
          <w:szCs w:val="28"/>
          <w:lang w:eastAsia="ru-RU"/>
        </w:rPr>
        <w:t>ть нарушения в организ</w:t>
      </w:r>
      <w:r w:rsidRPr="00545DE6">
        <w:rPr>
          <w:rFonts w:ascii="Times New Roman" w:hAnsi="Times New Roman" w:cs="Times New Roman"/>
          <w:sz w:val="28"/>
          <w:szCs w:val="28"/>
          <w:lang w:eastAsia="ru-RU"/>
        </w:rPr>
        <w:t>ации рабочего процесса, определи</w:t>
      </w:r>
      <w:r w:rsidR="00A15E11" w:rsidRPr="00545DE6">
        <w:rPr>
          <w:rFonts w:ascii="Times New Roman" w:hAnsi="Times New Roman" w:cs="Times New Roman"/>
          <w:sz w:val="28"/>
          <w:szCs w:val="28"/>
          <w:lang w:eastAsia="ru-RU"/>
        </w:rPr>
        <w:t xml:space="preserve">ть уровни профессиональных рисков и контролировать состояние условий труда на рабочих местах. </w:t>
      </w:r>
    </w:p>
    <w:sectPr w:rsidR="00545DE6" w:rsidSect="004937DC">
      <w:pgSz w:w="11906" w:h="16838"/>
      <w:pgMar w:top="851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098"/>
      </v:shape>
    </w:pict>
  </w:numPicBullet>
  <w:abstractNum w:abstractNumId="0">
    <w:nsid w:val="0003128F"/>
    <w:multiLevelType w:val="hybridMultilevel"/>
    <w:tmpl w:val="61CAF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1BEC"/>
    <w:multiLevelType w:val="hybridMultilevel"/>
    <w:tmpl w:val="BC62AE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474"/>
    <w:multiLevelType w:val="hybridMultilevel"/>
    <w:tmpl w:val="367C9BD4"/>
    <w:lvl w:ilvl="0" w:tplc="C002B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977FD"/>
    <w:multiLevelType w:val="hybridMultilevel"/>
    <w:tmpl w:val="CD90A3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F4910"/>
    <w:multiLevelType w:val="hybridMultilevel"/>
    <w:tmpl w:val="5352C7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0B2693"/>
    <w:multiLevelType w:val="hybridMultilevel"/>
    <w:tmpl w:val="3A3A1EC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F607854"/>
    <w:multiLevelType w:val="hybridMultilevel"/>
    <w:tmpl w:val="EAF65FE0"/>
    <w:lvl w:ilvl="0" w:tplc="77B2717A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CA5130"/>
    <w:multiLevelType w:val="hybridMultilevel"/>
    <w:tmpl w:val="A4527F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D1392D"/>
    <w:multiLevelType w:val="multilevel"/>
    <w:tmpl w:val="5F0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23523"/>
    <w:multiLevelType w:val="hybridMultilevel"/>
    <w:tmpl w:val="62364E2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1D52166F"/>
    <w:multiLevelType w:val="hybridMultilevel"/>
    <w:tmpl w:val="C1E0510E"/>
    <w:lvl w:ilvl="0" w:tplc="49049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FA18C8"/>
    <w:multiLevelType w:val="hybridMultilevel"/>
    <w:tmpl w:val="38CA24DE"/>
    <w:lvl w:ilvl="0" w:tplc="BDEC7EB0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708F7"/>
    <w:multiLevelType w:val="hybridMultilevel"/>
    <w:tmpl w:val="5DA29C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404A8C"/>
    <w:multiLevelType w:val="hybridMultilevel"/>
    <w:tmpl w:val="23CC8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0C3"/>
    <w:multiLevelType w:val="hybridMultilevel"/>
    <w:tmpl w:val="65FC0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6297F"/>
    <w:multiLevelType w:val="hybridMultilevel"/>
    <w:tmpl w:val="3986574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5442563"/>
    <w:multiLevelType w:val="hybridMultilevel"/>
    <w:tmpl w:val="6C8EDAA4"/>
    <w:lvl w:ilvl="0" w:tplc="458C5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4073"/>
    <w:multiLevelType w:val="hybridMultilevel"/>
    <w:tmpl w:val="5940670E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64361AA"/>
    <w:multiLevelType w:val="hybridMultilevel"/>
    <w:tmpl w:val="2F0060F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B619F3"/>
    <w:multiLevelType w:val="hybridMultilevel"/>
    <w:tmpl w:val="184C79AC"/>
    <w:lvl w:ilvl="0" w:tplc="3F70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97B13"/>
    <w:multiLevelType w:val="hybridMultilevel"/>
    <w:tmpl w:val="B9FC6B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590AD3"/>
    <w:multiLevelType w:val="hybridMultilevel"/>
    <w:tmpl w:val="E926EEF8"/>
    <w:lvl w:ilvl="0" w:tplc="4D5EA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E9173F9"/>
    <w:multiLevelType w:val="hybridMultilevel"/>
    <w:tmpl w:val="DC5EC25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FA3E7A"/>
    <w:multiLevelType w:val="hybridMultilevel"/>
    <w:tmpl w:val="F40AD76C"/>
    <w:lvl w:ilvl="0" w:tplc="AD449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F47428D"/>
    <w:multiLevelType w:val="hybridMultilevel"/>
    <w:tmpl w:val="DEAAA5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07267"/>
    <w:multiLevelType w:val="hybridMultilevel"/>
    <w:tmpl w:val="06F43F62"/>
    <w:lvl w:ilvl="0" w:tplc="1F50B0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269A8"/>
    <w:multiLevelType w:val="hybridMultilevel"/>
    <w:tmpl w:val="5BCA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2F707B"/>
    <w:multiLevelType w:val="hybridMultilevel"/>
    <w:tmpl w:val="E9FC1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871B2"/>
    <w:multiLevelType w:val="hybridMultilevel"/>
    <w:tmpl w:val="2E40A0CE"/>
    <w:lvl w:ilvl="0" w:tplc="83E0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14DD5"/>
    <w:multiLevelType w:val="hybridMultilevel"/>
    <w:tmpl w:val="DF6E1928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0">
    <w:nsid w:val="50E118BA"/>
    <w:multiLevelType w:val="hybridMultilevel"/>
    <w:tmpl w:val="EE0A98CC"/>
    <w:lvl w:ilvl="0" w:tplc="041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>
    <w:nsid w:val="52240878"/>
    <w:multiLevelType w:val="hybridMultilevel"/>
    <w:tmpl w:val="4740D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572F35"/>
    <w:multiLevelType w:val="hybridMultilevel"/>
    <w:tmpl w:val="4D040BFC"/>
    <w:lvl w:ilvl="0" w:tplc="03E0F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05874"/>
    <w:multiLevelType w:val="hybridMultilevel"/>
    <w:tmpl w:val="586C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F5DAA"/>
    <w:multiLevelType w:val="hybridMultilevel"/>
    <w:tmpl w:val="1F78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D3047"/>
    <w:multiLevelType w:val="hybridMultilevel"/>
    <w:tmpl w:val="A722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07470"/>
    <w:multiLevelType w:val="hybridMultilevel"/>
    <w:tmpl w:val="9CDE9A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D68D8"/>
    <w:multiLevelType w:val="hybridMultilevel"/>
    <w:tmpl w:val="7C58C3F2"/>
    <w:lvl w:ilvl="0" w:tplc="42F06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6F0583E"/>
    <w:multiLevelType w:val="hybridMultilevel"/>
    <w:tmpl w:val="3672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C23A9"/>
    <w:multiLevelType w:val="hybridMultilevel"/>
    <w:tmpl w:val="AB324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A57F39"/>
    <w:multiLevelType w:val="hybridMultilevel"/>
    <w:tmpl w:val="55B8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CE4470"/>
    <w:multiLevelType w:val="hybridMultilevel"/>
    <w:tmpl w:val="806E5B0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71FB0BE3"/>
    <w:multiLevelType w:val="hybridMultilevel"/>
    <w:tmpl w:val="4B6CF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415117"/>
    <w:multiLevelType w:val="hybridMultilevel"/>
    <w:tmpl w:val="9B5EDFEA"/>
    <w:lvl w:ilvl="0" w:tplc="4138650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564C23"/>
    <w:multiLevelType w:val="hybridMultilevel"/>
    <w:tmpl w:val="44C0FAF4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E497A53"/>
    <w:multiLevelType w:val="hybridMultilevel"/>
    <w:tmpl w:val="1F3CAB9A"/>
    <w:lvl w:ilvl="0" w:tplc="9CFA9C7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7FFB241A"/>
    <w:multiLevelType w:val="hybridMultilevel"/>
    <w:tmpl w:val="6136E18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"/>
  </w:num>
  <w:num w:numId="3">
    <w:abstractNumId w:val="37"/>
  </w:num>
  <w:num w:numId="4">
    <w:abstractNumId w:val="34"/>
  </w:num>
  <w:num w:numId="5">
    <w:abstractNumId w:val="42"/>
  </w:num>
  <w:num w:numId="6">
    <w:abstractNumId w:val="7"/>
  </w:num>
  <w:num w:numId="7">
    <w:abstractNumId w:val="26"/>
  </w:num>
  <w:num w:numId="8">
    <w:abstractNumId w:val="35"/>
  </w:num>
  <w:num w:numId="9">
    <w:abstractNumId w:val="11"/>
  </w:num>
  <w:num w:numId="10">
    <w:abstractNumId w:val="13"/>
  </w:num>
  <w:num w:numId="11">
    <w:abstractNumId w:val="0"/>
  </w:num>
  <w:num w:numId="12">
    <w:abstractNumId w:val="41"/>
  </w:num>
  <w:num w:numId="13">
    <w:abstractNumId w:val="5"/>
  </w:num>
  <w:num w:numId="14">
    <w:abstractNumId w:val="20"/>
  </w:num>
  <w:num w:numId="15">
    <w:abstractNumId w:val="27"/>
  </w:num>
  <w:num w:numId="16">
    <w:abstractNumId w:val="28"/>
  </w:num>
  <w:num w:numId="17">
    <w:abstractNumId w:val="19"/>
  </w:num>
  <w:num w:numId="18">
    <w:abstractNumId w:val="25"/>
  </w:num>
  <w:num w:numId="19">
    <w:abstractNumId w:val="36"/>
  </w:num>
  <w:num w:numId="20">
    <w:abstractNumId w:val="1"/>
  </w:num>
  <w:num w:numId="21">
    <w:abstractNumId w:val="16"/>
  </w:num>
  <w:num w:numId="22">
    <w:abstractNumId w:val="17"/>
  </w:num>
  <w:num w:numId="23">
    <w:abstractNumId w:val="3"/>
  </w:num>
  <w:num w:numId="24">
    <w:abstractNumId w:val="46"/>
  </w:num>
  <w:num w:numId="25">
    <w:abstractNumId w:val="32"/>
  </w:num>
  <w:num w:numId="26">
    <w:abstractNumId w:val="33"/>
  </w:num>
  <w:num w:numId="27">
    <w:abstractNumId w:val="14"/>
  </w:num>
  <w:num w:numId="28">
    <w:abstractNumId w:val="24"/>
  </w:num>
  <w:num w:numId="29">
    <w:abstractNumId w:val="40"/>
  </w:num>
  <w:num w:numId="30">
    <w:abstractNumId w:val="38"/>
  </w:num>
  <w:num w:numId="31">
    <w:abstractNumId w:val="18"/>
  </w:num>
  <w:num w:numId="32">
    <w:abstractNumId w:val="43"/>
  </w:num>
  <w:num w:numId="33">
    <w:abstractNumId w:val="29"/>
  </w:num>
  <w:num w:numId="34">
    <w:abstractNumId w:val="15"/>
  </w:num>
  <w:num w:numId="35">
    <w:abstractNumId w:val="39"/>
  </w:num>
  <w:num w:numId="36">
    <w:abstractNumId w:val="22"/>
  </w:num>
  <w:num w:numId="37">
    <w:abstractNumId w:val="30"/>
  </w:num>
  <w:num w:numId="38">
    <w:abstractNumId w:val="31"/>
  </w:num>
  <w:num w:numId="39">
    <w:abstractNumId w:val="9"/>
  </w:num>
  <w:num w:numId="40">
    <w:abstractNumId w:val="6"/>
  </w:num>
  <w:num w:numId="41">
    <w:abstractNumId w:val="12"/>
  </w:num>
  <w:num w:numId="42">
    <w:abstractNumId w:val="21"/>
  </w:num>
  <w:num w:numId="43">
    <w:abstractNumId w:val="4"/>
  </w:num>
  <w:num w:numId="44">
    <w:abstractNumId w:val="23"/>
  </w:num>
  <w:num w:numId="45">
    <w:abstractNumId w:val="10"/>
  </w:num>
  <w:num w:numId="46">
    <w:abstractNumId w:val="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528BD"/>
    <w:rsid w:val="00167447"/>
    <w:rsid w:val="00206885"/>
    <w:rsid w:val="0023117B"/>
    <w:rsid w:val="0025135B"/>
    <w:rsid w:val="00256330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5431"/>
    <w:rsid w:val="008C69A8"/>
    <w:rsid w:val="008D0DB7"/>
    <w:rsid w:val="009021CE"/>
    <w:rsid w:val="00912A72"/>
    <w:rsid w:val="00932F00"/>
    <w:rsid w:val="0094604E"/>
    <w:rsid w:val="00A15E11"/>
    <w:rsid w:val="00A236B8"/>
    <w:rsid w:val="00A71598"/>
    <w:rsid w:val="00AC2EA6"/>
    <w:rsid w:val="00B36E8A"/>
    <w:rsid w:val="00B37B00"/>
    <w:rsid w:val="00B600F6"/>
    <w:rsid w:val="00B657E0"/>
    <w:rsid w:val="00BF3B1A"/>
    <w:rsid w:val="00C47D5E"/>
    <w:rsid w:val="00C6567C"/>
    <w:rsid w:val="00CB299B"/>
    <w:rsid w:val="00CD6E43"/>
    <w:rsid w:val="00D013E5"/>
    <w:rsid w:val="00D06FE6"/>
    <w:rsid w:val="00D21F9F"/>
    <w:rsid w:val="00D2713A"/>
    <w:rsid w:val="00D3576B"/>
    <w:rsid w:val="00D36B46"/>
    <w:rsid w:val="00D60AF9"/>
    <w:rsid w:val="00D65D0B"/>
    <w:rsid w:val="00DE2071"/>
    <w:rsid w:val="00E07F5C"/>
    <w:rsid w:val="00E33D5D"/>
    <w:rsid w:val="00E909A5"/>
    <w:rsid w:val="00E9788D"/>
    <w:rsid w:val="00ED39BD"/>
    <w:rsid w:val="00F2132A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zen.ru/away?to=https%3A%2F%2Fdocs.cntd.ru%2Fdocument%2F4990673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9609-3F02-4440-80A9-F04DB282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42</cp:revision>
  <cp:lastPrinted>2025-03-01T18:49:00Z</cp:lastPrinted>
  <dcterms:created xsi:type="dcterms:W3CDTF">2017-02-09T07:15:00Z</dcterms:created>
  <dcterms:modified xsi:type="dcterms:W3CDTF">2025-03-01T18:50:00Z</dcterms:modified>
</cp:coreProperties>
</file>