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6123E" w14:textId="2E57A28F" w:rsidR="00FD56E9" w:rsidRPr="001454D7" w:rsidRDefault="00B5547C" w:rsidP="00EE27BF">
      <w:pPr>
        <w:pStyle w:val="a5"/>
        <w:ind w:left="709" w:right="707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u w:val="single"/>
        </w:rPr>
      </w:pPr>
      <w:r w:rsidRPr="001454D7">
        <w:rPr>
          <w:noProof/>
          <w:color w:val="833C0B" w:themeColor="accent2" w:themeShade="80"/>
          <w:lang w:eastAsia="ru-RU"/>
        </w:rPr>
        <w:drawing>
          <wp:anchor distT="0" distB="0" distL="114300" distR="114300" simplePos="0" relativeHeight="251649024" behindDoc="0" locked="0" layoutInCell="1" allowOverlap="1" wp14:anchorId="695DF4BA" wp14:editId="1644DC0F">
            <wp:simplePos x="0" y="0"/>
            <wp:positionH relativeFrom="column">
              <wp:posOffset>4879340</wp:posOffset>
            </wp:positionH>
            <wp:positionV relativeFrom="paragraph">
              <wp:posOffset>-635</wp:posOffset>
            </wp:positionV>
            <wp:extent cx="1984375" cy="1223645"/>
            <wp:effectExtent l="38100" t="38100" r="15875" b="14605"/>
            <wp:wrapSquare wrapText="bothSides"/>
            <wp:docPr id="1" name="Рисунок 1" descr="В Областном бюджетном учреждении социального обслуживания &quot;Комплексный центр со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Областном бюджетном учреждении социального обслуживания &quot;Комплексный центр со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2236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BF" w:rsidRPr="001454D7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u w:val="single"/>
        </w:rPr>
        <w:t>ВНЕПЛАНОВАЯ СПЕЦИАЛЬНАЯ ОЦЕНКА УСЛОВИЙ ТРУДА</w:t>
      </w:r>
      <w:r w:rsidRPr="001454D7">
        <w:rPr>
          <w:noProof/>
          <w:color w:val="833C0B" w:themeColor="accent2" w:themeShade="80"/>
          <w:lang w:eastAsia="ru-RU"/>
        </w:rPr>
        <w:t xml:space="preserve"> </w:t>
      </w:r>
    </w:p>
    <w:p w14:paraId="227ABF50" w14:textId="77777777" w:rsidR="00EE27BF" w:rsidRPr="009314E9" w:rsidRDefault="00EE27BF" w:rsidP="00EE27BF">
      <w:pPr>
        <w:pStyle w:val="a5"/>
        <w:ind w:left="709" w:right="707"/>
        <w:jc w:val="center"/>
        <w:rPr>
          <w:rFonts w:ascii="Times New Roman" w:hAnsi="Times New Roman" w:cs="Times New Roman"/>
          <w:b/>
          <w:color w:val="C45911" w:themeColor="accent2" w:themeShade="BF"/>
          <w:sz w:val="16"/>
          <w:szCs w:val="16"/>
          <w:u w:val="single"/>
        </w:rPr>
      </w:pPr>
    </w:p>
    <w:p w14:paraId="20AC2E25" w14:textId="730BFF8C" w:rsidR="00EE27BF" w:rsidRPr="00EE27BF" w:rsidRDefault="00EE27BF" w:rsidP="00EE27BF">
      <w:pPr>
        <w:pStyle w:val="a5"/>
        <w:ind w:left="709" w:right="707"/>
        <w:jc w:val="both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Внеплановая специальная оценка условий труда проводится </w:t>
      </w:r>
      <w:r w:rsidRPr="00EE27BF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в срок от 6 до 12 месяцев в зависимости от основания её проведения.</w:t>
      </w:r>
    </w:p>
    <w:p w14:paraId="57329661" w14:textId="64042DD0" w:rsidR="00F37FF0" w:rsidRDefault="00C420AD" w:rsidP="00F37FF0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4731DA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6.6pt;margin-top:366.25pt;width:24pt;height:0;z-index:251663360" o:connectortype="straight" strokecolor="#823b0b [1605]" strokeweight="2.25pt"/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04B3714C">
          <v:rect id="_x0000_s1029" style="position:absolute;left:0;text-align:left;margin-left:47pt;margin-top:153.55pt;width:494.4pt;height:69.6pt;z-index:251652096" fillcolor="white [3201]" strokecolor="#ed7d31 [3205]" strokeweight="2.5pt">
            <v:shadow color="#868686"/>
            <v:textbox style="mso-next-textbox:#_x0000_s1029">
              <w:txbxContent>
                <w:p w14:paraId="7FC4DA95" w14:textId="2A793204" w:rsidR="00EE27BF" w:rsidRPr="00A5062A" w:rsidRDefault="00EE27BF" w:rsidP="00A5062A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</w:rPr>
                  </w:pPr>
                  <w:r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нарушениями</w:t>
                  </w:r>
                  <w:r w:rsidR="00A5062A"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. </w:t>
                  </w:r>
                  <w:r w:rsidR="00A5062A" w:rsidRPr="00A5062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данном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случае СОУТ проводится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 xml:space="preserve"> </w:t>
                  </w:r>
                  <w:r w:rsidR="009314E9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>в течение 6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 xml:space="preserve"> месяцев с даты предписания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20AD58CC">
          <v:shape id="_x0000_s1043" type="#_x0000_t32" style="position:absolute;left:0;text-align:left;margin-left:26.6pt;margin-top:119.05pt;width:21pt;height:.6pt;z-index:251666432" o:connectortype="straight" strokecolor="#823b0b [1605]" strokeweight="2.25pt"/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4BAFBE40">
          <v:shape id="_x0000_s1042" type="#_x0000_t32" style="position:absolute;left:0;text-align:left;margin-left:26.6pt;margin-top:185.65pt;width:19.2pt;height:0;z-index:251665408" o:connectortype="straight" strokecolor="#823b0b [1605]" strokeweight="2.25pt"/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7CED04CF">
          <v:shape id="_x0000_s1041" type="#_x0000_t32" style="position:absolute;left:0;text-align:left;margin-left:26.6pt;margin-top:273.25pt;width:24.6pt;height:0;z-index:251664384" o:connectortype="straight" strokecolor="#823b0b [1605]" strokeweight="2.25pt"/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686F5502">
          <v:shape id="_x0000_s1039" type="#_x0000_t32" style="position:absolute;left:0;text-align:left;margin-left:27.2pt;margin-top:438.25pt;width:23.4pt;height:0;z-index:251662336" o:connectortype="straight" strokecolor="#823b0b [1605]" strokeweight="2.25pt"/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40F444B1">
          <v:shape id="_x0000_s1038" type="#_x0000_t32" style="position:absolute;left:0;text-align:left;margin-left:27.8pt;margin-top:530.05pt;width:21pt;height:.6pt;z-index:251661312" o:connectortype="straight" strokecolor="#823b0b [1605]" strokeweight="2.25pt"/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3B1D5117">
          <v:shape id="_x0000_s1037" type="#_x0000_t32" style="position:absolute;left:0;text-align:left;margin-left:29pt;margin-top:642.25pt;width:20.4pt;height:.6pt;z-index:251660288" o:connectortype="straight" strokecolor="#823b0b [1605]" strokeweight="2.25pt"/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6953401B">
          <v:shape id="_x0000_s1036" type="#_x0000_t32" style="position:absolute;left:0;text-align:left;margin-left:25.4pt;margin-top:44.5pt;width:1.8pt;height:597pt;z-index:251659264;mso-position-vertical:absolute" o:connectortype="straight" strokecolor="#823b0b [1605]" strokeweight="2.25pt"/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43013ECF">
          <v:shape id="_x0000_s1035" type="#_x0000_t32" style="position:absolute;left:0;text-align:left;margin-left:25.4pt;margin-top:43.45pt;width:29.4pt;height:0;flip:x;z-index:251658240" o:connectortype="straight" strokecolor="#823b0b [1605]" strokeweight="2.25pt"/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208BF040">
          <v:rect id="_x0000_s1033" style="position:absolute;left:0;text-align:left;margin-left:47.6pt;margin-top:479.95pt;width:493.2pt;height:102pt;z-index:251656192" fillcolor="white [3201]" strokecolor="#ed7d31 [3205]" strokeweight="2.5pt">
            <v:shadow color="#868686"/>
            <v:textbox style="mso-next-textbox:#_x0000_s1033">
              <w:txbxContent>
                <w:p w14:paraId="03733D3D" w14:textId="60DF676B" w:rsidR="00284454" w:rsidRPr="00A5062A" w:rsidRDefault="00B5547C" w:rsidP="00B5547C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</w:rPr>
                  </w:pPr>
                  <w:r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</w:t>
                  </w:r>
                  <w:r w:rsidR="00284454"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>роизошедший на рабочем месте несчастный случай</w:t>
                  </w:r>
                  <w:r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на производстве (за исключением несчастного случая на производстве, произошедшего по вине третьих лиц) или выявленное профессиональное заболевание, причинами которых явилось воздействие на работника вредных и (или) опасных производственных факторов</w:t>
                  </w:r>
                  <w:r w:rsidR="00A5062A"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. </w:t>
                  </w:r>
                  <w:r w:rsidR="00A5062A" w:rsidRPr="00A5062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данном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случае СОУТ проводится </w:t>
                  </w:r>
                  <w:r w:rsidR="009314E9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>в течение 6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 xml:space="preserve"> месяцев с даты документа, подтверждающего случившееся 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3122E9D4">
          <v:rect id="_x0000_s1032" style="position:absolute;left:0;text-align:left;margin-left:50.6pt;margin-top:401.05pt;width:492pt;height:69.9pt;z-index:251655168" fillcolor="white [3201]" strokecolor="#ed7d31 [3205]" strokeweight="2.5pt">
            <v:shadow color="#868686"/>
            <v:textbox style="mso-next-textbox:#_x0000_s1032">
              <w:txbxContent>
                <w:p w14:paraId="76CFCE81" w14:textId="108ACF6E" w:rsidR="00284454" w:rsidRPr="009314E9" w:rsidRDefault="00C420AD" w:rsidP="0028445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введение новых</w:t>
                  </w:r>
                  <w:r w:rsidR="00284454"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средств индивидуальной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и коллективной защиты, способных</w:t>
                  </w:r>
                  <w:bookmarkStart w:id="0" w:name="_GoBack"/>
                  <w:bookmarkEnd w:id="0"/>
                  <w:r w:rsidR="00284454"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оказать влияние на уровень воздействия вредных и (или) опасных производственных факторов на работников</w:t>
                  </w:r>
                  <w:r w:rsidR="009314E9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  <w:r w:rsidR="009314E9" w:rsidRPr="009314E9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СОУТ проводится</w:t>
                  </w:r>
                  <w:r>
                    <w:rPr>
                      <w:rFonts w:ascii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</w:rPr>
                    <w:t xml:space="preserve"> в течение 12</w:t>
                  </w:r>
                  <w:r w:rsidR="009314E9" w:rsidRPr="009314E9">
                    <w:rPr>
                      <w:rFonts w:ascii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</w:rPr>
                    <w:t xml:space="preserve"> месяцев</w:t>
                  </w:r>
                </w:p>
                <w:p w14:paraId="46F52BE4" w14:textId="5A5466A8" w:rsidR="00284454" w:rsidRPr="00284454" w:rsidRDefault="00284454" w:rsidP="0028445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0501B1C4">
          <v:rect id="_x0000_s1031" style="position:absolute;left:0;text-align:left;margin-left:51.8pt;margin-top:333.55pt;width:487.8pt;height:59.7pt;z-index:251654144" fillcolor="white [3201]" strokecolor="#ed7d31 [3205]" strokeweight="2.5pt">
            <v:shadow color="#868686"/>
            <v:textbox style="mso-next-textbox:#_x0000_s1031">
              <w:txbxContent>
                <w:p w14:paraId="76B49584" w14:textId="6D597FF2" w:rsidR="00284454" w:rsidRPr="009314E9" w:rsidRDefault="00284454" w:rsidP="0028445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</w:rPr>
                  </w:pPr>
                  <w:r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изменение состава применяемых материалов и (или) сырья, способных оказать влияние на уровень воздействия вредных и (или) опасных производственных факторов на работников</w:t>
                  </w:r>
                  <w:r w:rsidR="009314E9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. </w:t>
                  </w:r>
                  <w:r w:rsidR="009314E9" w:rsidRPr="009314E9">
                    <w:rPr>
                      <w:rFonts w:ascii="Times New Roman" w:hAnsi="Times New Roman" w:cs="Times New Roman"/>
                      <w:sz w:val="27"/>
                      <w:szCs w:val="27"/>
                    </w:rPr>
                    <w:t>СОУТ проводится</w:t>
                  </w:r>
                  <w:r w:rsidR="00C420AD">
                    <w:rPr>
                      <w:rFonts w:ascii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</w:rPr>
                    <w:t xml:space="preserve"> в течение 12</w:t>
                  </w:r>
                  <w:r w:rsidR="009314E9" w:rsidRPr="009314E9">
                    <w:rPr>
                      <w:rFonts w:ascii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</w:rPr>
                    <w:t xml:space="preserve"> месяцев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07FBB611">
          <v:rect id="_x0000_s1030" style="position:absolute;left:0;text-align:left;margin-left:49.4pt;margin-top:230.95pt;width:490.8pt;height:90pt;z-index:251653120" fillcolor="white [3201]" strokecolor="#ed7d31 [3205]" strokeweight="2.5pt">
            <v:shadow color="#868686"/>
            <v:textbox style="mso-next-textbox:#_x0000_s1030">
              <w:txbxContent>
                <w:p w14:paraId="0C31E12B" w14:textId="0093FEE8" w:rsidR="00A5062A" w:rsidRPr="00882437" w:rsidRDefault="00284454" w:rsidP="00A5062A">
                  <w:pPr>
                    <w:numPr>
                      <w:ilvl w:val="0"/>
                      <w:numId w:val="49"/>
                    </w:numPr>
                    <w:shd w:val="clear" w:color="auto" w:fill="FFFFFF"/>
                    <w:spacing w:beforeAutospacing="1"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</w:pPr>
                  <w:r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изменение технологического процесса, замена производственного оборудования, которые способны оказать влияние на уровень воздействия вредных и (или) опасных производственных факторов на работников</w:t>
                  </w:r>
                  <w:r w:rsidR="00A5062A"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  <w:r w:rsidR="00A5062A" w:rsidRPr="00A5062A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 </w:t>
                  </w:r>
                  <w:r w:rsidR="00A5062A" w:rsidRPr="00A5062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данном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случае СОУТ проводится </w:t>
                  </w:r>
                  <w:r w:rsidR="00A5062A" w:rsidRPr="00A5062A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>в течение 12 месяцев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 xml:space="preserve"> после изменения должностной инструкции или с подписания акта установки оборудования </w:t>
                  </w:r>
                </w:p>
                <w:p w14:paraId="17939B23" w14:textId="5514FF28" w:rsidR="00EE27BF" w:rsidRPr="00284454" w:rsidRDefault="00EE27BF" w:rsidP="0028445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7AE61C0B">
          <v:rect id="_x0000_s1028" style="position:absolute;left:0;text-align:left;margin-left:47.6pt;margin-top:91.15pt;width:493.2pt;height:54.6pt;z-index:251651072" fillcolor="white [3201]" strokecolor="#ed7d31 [3205]" strokeweight="2.5pt">
            <v:shadow color="#868686"/>
            <v:textbox style="mso-next-textbox:#_x0000_s1028">
              <w:txbxContent>
                <w:p w14:paraId="6103E49D" w14:textId="5EA7DE87" w:rsidR="00EE27BF" w:rsidRPr="00A5062A" w:rsidRDefault="00EE27BF" w:rsidP="00A5062A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ввод в эксплуатацию вновь организованных рабочих мест</w:t>
                  </w:r>
                  <w:r w:rsidR="00A5062A"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  <w:r w:rsidR="00A5062A" w:rsidRPr="00A5062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В данном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случае </w:t>
                  </w:r>
                  <w:r w:rsidR="001454D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СОУТ проводится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="00A5062A" w:rsidRPr="00A5062A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>в течение 12 месяцев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 xml:space="preserve"> после</w:t>
                  </w:r>
                  <w:r w:rsidR="00A5062A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 xml:space="preserve"> ввода в эксплуатацию вновь организованного рабочего места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4E56B3C5">
          <v:rect id="_x0000_s1034" style="position:absolute;left:0;text-align:left;margin-left:50.6pt;margin-top:590.35pt;width:491.4pt;height:89.4pt;z-index:251657216" fillcolor="white [3201]" strokecolor="#ed7d31 [3205]" strokeweight="2.5pt">
            <v:shadow color="#868686"/>
            <v:textbox style="mso-next-textbox:#_x0000_s1034">
              <w:txbxContent>
                <w:p w14:paraId="34321641" w14:textId="4AAB4679" w:rsidR="00A5062A" w:rsidRPr="00882437" w:rsidRDefault="00B5547C" w:rsidP="00A5062A">
                  <w:pPr>
                    <w:numPr>
                      <w:ilvl w:val="0"/>
                      <w:numId w:val="49"/>
                    </w:numPr>
                    <w:shd w:val="clear" w:color="auto" w:fill="FFFFFF"/>
                    <w:spacing w:beforeAutospacing="1"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</w:pPr>
                  <w:r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</w:t>
                  </w:r>
                  <w:r w:rsidR="00A5062A" w:rsidRPr="00A5062A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  <w:r w:rsidR="00A5062A" w:rsidRPr="00A5062A">
                    <w:rPr>
                      <w:rFonts w:ascii="Arial" w:eastAsia="Times New Roman" w:hAnsi="Arial" w:cs="Arial"/>
                      <w:color w:val="333333"/>
                      <w:sz w:val="27"/>
                      <w:szCs w:val="27"/>
                      <w:lang w:eastAsia="ru-RU"/>
                    </w:rPr>
                    <w:t xml:space="preserve"> 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В этом случае СОУТ проводится 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>в те</w:t>
                  </w:r>
                  <w:r w:rsidR="009314E9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>чение 6</w:t>
                  </w:r>
                  <w:r w:rsidR="00A5062A" w:rsidRPr="00882437">
                    <w:rPr>
                      <w:rFonts w:ascii="Times New Roman" w:eastAsia="Times New Roman" w:hAnsi="Times New Roman" w:cs="Times New Roman"/>
                      <w:b/>
                      <w:color w:val="833C0B" w:themeColor="accent2" w:themeShade="80"/>
                      <w:sz w:val="27"/>
                      <w:szCs w:val="27"/>
                      <w:lang w:eastAsia="ru-RU"/>
                    </w:rPr>
                    <w:t xml:space="preserve"> месяцев с даты документа, подтверждающего изменения </w:t>
                  </w:r>
                </w:p>
                <w:p w14:paraId="549DD7E9" w14:textId="6671BB7A" w:rsidR="00B5547C" w:rsidRPr="00B5547C" w:rsidRDefault="00B5547C" w:rsidP="00B5547C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7235A83D">
          <v:oval id="_x0000_s1027" style="position:absolute;left:0;text-align:left;margin-left:54.2pt;margin-top:8.75pt;width:479.4pt;height:72.2pt;z-index:251650048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19E4DA8A" w14:textId="7BA097CD" w:rsidR="00EE27BF" w:rsidRPr="00A5062A" w:rsidRDefault="00EE27BF" w:rsidP="00EE27B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A5062A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ВНЕПЛАНОВАЯ СПЕЦИАЛЬНАЯ ОЦЕНКА УСЛОВИЙ ТРУДА ДОЛЖНА ПРОВОДИТЬСЯ В СЛУЧАЯХ:</w:t>
                  </w:r>
                </w:p>
              </w:txbxContent>
            </v:textbox>
          </v:oval>
        </w:pict>
      </w:r>
    </w:p>
    <w:sectPr w:rsidR="00F37FF0" w:rsidSect="00446ECA">
      <w:pgSz w:w="11906" w:h="16838"/>
      <w:pgMar w:top="709" w:right="0" w:bottom="142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1.4pt;height:11.4pt" o:bullet="t">
        <v:imagedata r:id="rId1" o:title="mso1098"/>
      </v:shape>
    </w:pict>
  </w:numPicBullet>
  <w:abstractNum w:abstractNumId="0">
    <w:nsid w:val="0003128F"/>
    <w:multiLevelType w:val="hybridMultilevel"/>
    <w:tmpl w:val="61CAF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31BEC"/>
    <w:multiLevelType w:val="hybridMultilevel"/>
    <w:tmpl w:val="BC62AE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474"/>
    <w:multiLevelType w:val="hybridMultilevel"/>
    <w:tmpl w:val="367C9BD4"/>
    <w:lvl w:ilvl="0" w:tplc="C002B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977FD"/>
    <w:multiLevelType w:val="hybridMultilevel"/>
    <w:tmpl w:val="CD90A3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F4910"/>
    <w:multiLevelType w:val="hybridMultilevel"/>
    <w:tmpl w:val="5352C79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0B2693"/>
    <w:multiLevelType w:val="hybridMultilevel"/>
    <w:tmpl w:val="3A3A1EC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F607854"/>
    <w:multiLevelType w:val="hybridMultilevel"/>
    <w:tmpl w:val="EAF65FE0"/>
    <w:lvl w:ilvl="0" w:tplc="77B2717A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0CA5130"/>
    <w:multiLevelType w:val="hybridMultilevel"/>
    <w:tmpl w:val="A4527FD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D1392D"/>
    <w:multiLevelType w:val="multilevel"/>
    <w:tmpl w:val="5F0A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E23523"/>
    <w:multiLevelType w:val="hybridMultilevel"/>
    <w:tmpl w:val="62364E2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1D52166F"/>
    <w:multiLevelType w:val="hybridMultilevel"/>
    <w:tmpl w:val="C1E0510E"/>
    <w:lvl w:ilvl="0" w:tplc="49049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FA18C8"/>
    <w:multiLevelType w:val="hybridMultilevel"/>
    <w:tmpl w:val="38CA24DE"/>
    <w:lvl w:ilvl="0" w:tplc="BDEC7EB0">
      <w:start w:val="1"/>
      <w:numFmt w:val="bullet"/>
      <w:lvlText w:val="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708F7"/>
    <w:multiLevelType w:val="hybridMultilevel"/>
    <w:tmpl w:val="5DA29C1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404A8C"/>
    <w:multiLevelType w:val="hybridMultilevel"/>
    <w:tmpl w:val="23CC8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C58C2"/>
    <w:multiLevelType w:val="multilevel"/>
    <w:tmpl w:val="B468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F110C3"/>
    <w:multiLevelType w:val="hybridMultilevel"/>
    <w:tmpl w:val="65FC08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6297F"/>
    <w:multiLevelType w:val="hybridMultilevel"/>
    <w:tmpl w:val="39865748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35442563"/>
    <w:multiLevelType w:val="hybridMultilevel"/>
    <w:tmpl w:val="6C8EDAA4"/>
    <w:lvl w:ilvl="0" w:tplc="458C5B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84073"/>
    <w:multiLevelType w:val="hybridMultilevel"/>
    <w:tmpl w:val="5940670E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>
    <w:nsid w:val="364361AA"/>
    <w:multiLevelType w:val="hybridMultilevel"/>
    <w:tmpl w:val="2F0060F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6B619F3"/>
    <w:multiLevelType w:val="hybridMultilevel"/>
    <w:tmpl w:val="184C79AC"/>
    <w:lvl w:ilvl="0" w:tplc="3F700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97B13"/>
    <w:multiLevelType w:val="hybridMultilevel"/>
    <w:tmpl w:val="B9FC6B6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590AD3"/>
    <w:multiLevelType w:val="hybridMultilevel"/>
    <w:tmpl w:val="E926EEF8"/>
    <w:lvl w:ilvl="0" w:tplc="4D5EA44E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E9173F9"/>
    <w:multiLevelType w:val="hybridMultilevel"/>
    <w:tmpl w:val="DC5EC25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EFA3E7A"/>
    <w:multiLevelType w:val="hybridMultilevel"/>
    <w:tmpl w:val="F40AD76C"/>
    <w:lvl w:ilvl="0" w:tplc="AD449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F47428D"/>
    <w:multiLevelType w:val="hybridMultilevel"/>
    <w:tmpl w:val="DEAAA5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C07267"/>
    <w:multiLevelType w:val="hybridMultilevel"/>
    <w:tmpl w:val="06F43F62"/>
    <w:lvl w:ilvl="0" w:tplc="1F50B01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9269A8"/>
    <w:multiLevelType w:val="hybridMultilevel"/>
    <w:tmpl w:val="5BCAF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2F707B"/>
    <w:multiLevelType w:val="hybridMultilevel"/>
    <w:tmpl w:val="E9FC1E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1871B2"/>
    <w:multiLevelType w:val="hybridMultilevel"/>
    <w:tmpl w:val="2E40A0CE"/>
    <w:lvl w:ilvl="0" w:tplc="83E09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B14DD5"/>
    <w:multiLevelType w:val="hybridMultilevel"/>
    <w:tmpl w:val="DF6E1928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1">
    <w:nsid w:val="50E118BA"/>
    <w:multiLevelType w:val="hybridMultilevel"/>
    <w:tmpl w:val="EE0A98CC"/>
    <w:lvl w:ilvl="0" w:tplc="04190007">
      <w:start w:val="1"/>
      <w:numFmt w:val="bullet"/>
      <w:lvlText w:val=""/>
      <w:lvlPicBulletId w:val="0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2">
    <w:nsid w:val="52240878"/>
    <w:multiLevelType w:val="hybridMultilevel"/>
    <w:tmpl w:val="4740D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5572F35"/>
    <w:multiLevelType w:val="hybridMultilevel"/>
    <w:tmpl w:val="4D040BFC"/>
    <w:lvl w:ilvl="0" w:tplc="03E0FE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605874"/>
    <w:multiLevelType w:val="hybridMultilevel"/>
    <w:tmpl w:val="586C8F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0F5DAA"/>
    <w:multiLevelType w:val="hybridMultilevel"/>
    <w:tmpl w:val="1F78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D3047"/>
    <w:multiLevelType w:val="hybridMultilevel"/>
    <w:tmpl w:val="A7224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07470"/>
    <w:multiLevelType w:val="hybridMultilevel"/>
    <w:tmpl w:val="9CDE9A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0D68D8"/>
    <w:multiLevelType w:val="hybridMultilevel"/>
    <w:tmpl w:val="7C58C3F2"/>
    <w:lvl w:ilvl="0" w:tplc="42F06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6F0583E"/>
    <w:multiLevelType w:val="hybridMultilevel"/>
    <w:tmpl w:val="36720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8C23A9"/>
    <w:multiLevelType w:val="hybridMultilevel"/>
    <w:tmpl w:val="AB324F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1D2DD8"/>
    <w:multiLevelType w:val="hybridMultilevel"/>
    <w:tmpl w:val="DF72A556"/>
    <w:lvl w:ilvl="0" w:tplc="0419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2">
    <w:nsid w:val="6EA57F39"/>
    <w:multiLevelType w:val="hybridMultilevel"/>
    <w:tmpl w:val="55B80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1CE4470"/>
    <w:multiLevelType w:val="hybridMultilevel"/>
    <w:tmpl w:val="806E5B0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>
    <w:nsid w:val="71FB0BE3"/>
    <w:multiLevelType w:val="hybridMultilevel"/>
    <w:tmpl w:val="4B6CF7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B415117"/>
    <w:multiLevelType w:val="hybridMultilevel"/>
    <w:tmpl w:val="9B5EDFEA"/>
    <w:lvl w:ilvl="0" w:tplc="4138650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C564C23"/>
    <w:multiLevelType w:val="hybridMultilevel"/>
    <w:tmpl w:val="44C0FAF4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E497A53"/>
    <w:multiLevelType w:val="hybridMultilevel"/>
    <w:tmpl w:val="1F3CAB9A"/>
    <w:lvl w:ilvl="0" w:tplc="9CFA9C7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7FFB241A"/>
    <w:multiLevelType w:val="hybridMultilevel"/>
    <w:tmpl w:val="6136E18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"/>
  </w:num>
  <w:num w:numId="3">
    <w:abstractNumId w:val="38"/>
  </w:num>
  <w:num w:numId="4">
    <w:abstractNumId w:val="35"/>
  </w:num>
  <w:num w:numId="5">
    <w:abstractNumId w:val="44"/>
  </w:num>
  <w:num w:numId="6">
    <w:abstractNumId w:val="7"/>
  </w:num>
  <w:num w:numId="7">
    <w:abstractNumId w:val="27"/>
  </w:num>
  <w:num w:numId="8">
    <w:abstractNumId w:val="36"/>
  </w:num>
  <w:num w:numId="9">
    <w:abstractNumId w:val="11"/>
  </w:num>
  <w:num w:numId="10">
    <w:abstractNumId w:val="13"/>
  </w:num>
  <w:num w:numId="11">
    <w:abstractNumId w:val="0"/>
  </w:num>
  <w:num w:numId="12">
    <w:abstractNumId w:val="43"/>
  </w:num>
  <w:num w:numId="13">
    <w:abstractNumId w:val="5"/>
  </w:num>
  <w:num w:numId="14">
    <w:abstractNumId w:val="21"/>
  </w:num>
  <w:num w:numId="15">
    <w:abstractNumId w:val="28"/>
  </w:num>
  <w:num w:numId="16">
    <w:abstractNumId w:val="29"/>
  </w:num>
  <w:num w:numId="17">
    <w:abstractNumId w:val="20"/>
  </w:num>
  <w:num w:numId="18">
    <w:abstractNumId w:val="26"/>
  </w:num>
  <w:num w:numId="19">
    <w:abstractNumId w:val="37"/>
  </w:num>
  <w:num w:numId="20">
    <w:abstractNumId w:val="1"/>
  </w:num>
  <w:num w:numId="21">
    <w:abstractNumId w:val="17"/>
  </w:num>
  <w:num w:numId="22">
    <w:abstractNumId w:val="18"/>
  </w:num>
  <w:num w:numId="23">
    <w:abstractNumId w:val="3"/>
  </w:num>
  <w:num w:numId="24">
    <w:abstractNumId w:val="48"/>
  </w:num>
  <w:num w:numId="25">
    <w:abstractNumId w:val="33"/>
  </w:num>
  <w:num w:numId="26">
    <w:abstractNumId w:val="34"/>
  </w:num>
  <w:num w:numId="27">
    <w:abstractNumId w:val="15"/>
  </w:num>
  <w:num w:numId="28">
    <w:abstractNumId w:val="25"/>
  </w:num>
  <w:num w:numId="29">
    <w:abstractNumId w:val="42"/>
  </w:num>
  <w:num w:numId="30">
    <w:abstractNumId w:val="39"/>
  </w:num>
  <w:num w:numId="31">
    <w:abstractNumId w:val="19"/>
  </w:num>
  <w:num w:numId="32">
    <w:abstractNumId w:val="45"/>
  </w:num>
  <w:num w:numId="33">
    <w:abstractNumId w:val="30"/>
  </w:num>
  <w:num w:numId="34">
    <w:abstractNumId w:val="16"/>
  </w:num>
  <w:num w:numId="35">
    <w:abstractNumId w:val="40"/>
  </w:num>
  <w:num w:numId="36">
    <w:abstractNumId w:val="23"/>
  </w:num>
  <w:num w:numId="37">
    <w:abstractNumId w:val="31"/>
  </w:num>
  <w:num w:numId="38">
    <w:abstractNumId w:val="32"/>
  </w:num>
  <w:num w:numId="39">
    <w:abstractNumId w:val="9"/>
  </w:num>
  <w:num w:numId="40">
    <w:abstractNumId w:val="6"/>
  </w:num>
  <w:num w:numId="41">
    <w:abstractNumId w:val="12"/>
  </w:num>
  <w:num w:numId="42">
    <w:abstractNumId w:val="22"/>
  </w:num>
  <w:num w:numId="43">
    <w:abstractNumId w:val="4"/>
  </w:num>
  <w:num w:numId="44">
    <w:abstractNumId w:val="24"/>
  </w:num>
  <w:num w:numId="45">
    <w:abstractNumId w:val="10"/>
  </w:num>
  <w:num w:numId="46">
    <w:abstractNumId w:val="8"/>
  </w:num>
  <w:num w:numId="47">
    <w:abstractNumId w:val="46"/>
  </w:num>
  <w:num w:numId="48">
    <w:abstractNumId w:val="41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410C"/>
    <w:rsid w:val="000144D8"/>
    <w:rsid w:val="00022783"/>
    <w:rsid w:val="00026375"/>
    <w:rsid w:val="00046D0B"/>
    <w:rsid w:val="00047F87"/>
    <w:rsid w:val="000634B9"/>
    <w:rsid w:val="0008410C"/>
    <w:rsid w:val="00115F18"/>
    <w:rsid w:val="001454D7"/>
    <w:rsid w:val="001528BD"/>
    <w:rsid w:val="00167447"/>
    <w:rsid w:val="00206885"/>
    <w:rsid w:val="0023117B"/>
    <w:rsid w:val="0025135B"/>
    <w:rsid w:val="00256330"/>
    <w:rsid w:val="00284454"/>
    <w:rsid w:val="00285493"/>
    <w:rsid w:val="002A08F5"/>
    <w:rsid w:val="002A3348"/>
    <w:rsid w:val="002C25BD"/>
    <w:rsid w:val="002F4362"/>
    <w:rsid w:val="00373AA9"/>
    <w:rsid w:val="003822B3"/>
    <w:rsid w:val="003B4904"/>
    <w:rsid w:val="003D3457"/>
    <w:rsid w:val="003E182D"/>
    <w:rsid w:val="004061AF"/>
    <w:rsid w:val="0044035C"/>
    <w:rsid w:val="00446ECA"/>
    <w:rsid w:val="0048602F"/>
    <w:rsid w:val="004937DC"/>
    <w:rsid w:val="004B09EA"/>
    <w:rsid w:val="004D3D6F"/>
    <w:rsid w:val="004E3F17"/>
    <w:rsid w:val="00505044"/>
    <w:rsid w:val="0052326A"/>
    <w:rsid w:val="00545DE6"/>
    <w:rsid w:val="00551EE9"/>
    <w:rsid w:val="00595F29"/>
    <w:rsid w:val="005A3107"/>
    <w:rsid w:val="005B63B4"/>
    <w:rsid w:val="005B749E"/>
    <w:rsid w:val="00600785"/>
    <w:rsid w:val="00627E17"/>
    <w:rsid w:val="00643089"/>
    <w:rsid w:val="0065035F"/>
    <w:rsid w:val="00670F09"/>
    <w:rsid w:val="006841DB"/>
    <w:rsid w:val="006C7B24"/>
    <w:rsid w:val="006D2326"/>
    <w:rsid w:val="006D7480"/>
    <w:rsid w:val="006F11CD"/>
    <w:rsid w:val="007111D4"/>
    <w:rsid w:val="00721D8A"/>
    <w:rsid w:val="00771262"/>
    <w:rsid w:val="00771795"/>
    <w:rsid w:val="0077214A"/>
    <w:rsid w:val="007A0201"/>
    <w:rsid w:val="007A023E"/>
    <w:rsid w:val="007D6974"/>
    <w:rsid w:val="007F605C"/>
    <w:rsid w:val="00812109"/>
    <w:rsid w:val="00817843"/>
    <w:rsid w:val="00841069"/>
    <w:rsid w:val="008422FB"/>
    <w:rsid w:val="00847400"/>
    <w:rsid w:val="00854098"/>
    <w:rsid w:val="00875027"/>
    <w:rsid w:val="00885431"/>
    <w:rsid w:val="008C69A8"/>
    <w:rsid w:val="008D0DB7"/>
    <w:rsid w:val="009021CE"/>
    <w:rsid w:val="00912A72"/>
    <w:rsid w:val="009314E9"/>
    <w:rsid w:val="00932F00"/>
    <w:rsid w:val="0094604E"/>
    <w:rsid w:val="009E2CAA"/>
    <w:rsid w:val="00A15E11"/>
    <w:rsid w:val="00A20C65"/>
    <w:rsid w:val="00A236B8"/>
    <w:rsid w:val="00A5062A"/>
    <w:rsid w:val="00A71598"/>
    <w:rsid w:val="00AC2EA6"/>
    <w:rsid w:val="00B36E8A"/>
    <w:rsid w:val="00B37B00"/>
    <w:rsid w:val="00B5547C"/>
    <w:rsid w:val="00B600F6"/>
    <w:rsid w:val="00B657E0"/>
    <w:rsid w:val="00BF3B1A"/>
    <w:rsid w:val="00C420AD"/>
    <w:rsid w:val="00C47D5E"/>
    <w:rsid w:val="00C6567C"/>
    <w:rsid w:val="00CB299B"/>
    <w:rsid w:val="00CD6E43"/>
    <w:rsid w:val="00D013E5"/>
    <w:rsid w:val="00D06FE6"/>
    <w:rsid w:val="00D21F9F"/>
    <w:rsid w:val="00D2713A"/>
    <w:rsid w:val="00D3576B"/>
    <w:rsid w:val="00D36B46"/>
    <w:rsid w:val="00D60AF9"/>
    <w:rsid w:val="00D65D0B"/>
    <w:rsid w:val="00D91297"/>
    <w:rsid w:val="00DE2071"/>
    <w:rsid w:val="00E07F5C"/>
    <w:rsid w:val="00E33D5D"/>
    <w:rsid w:val="00E909A5"/>
    <w:rsid w:val="00E9788D"/>
    <w:rsid w:val="00ED39BD"/>
    <w:rsid w:val="00EE27BF"/>
    <w:rsid w:val="00F2132A"/>
    <w:rsid w:val="00F37FF0"/>
    <w:rsid w:val="00F552FE"/>
    <w:rsid w:val="00F9669E"/>
    <w:rsid w:val="00FA0221"/>
    <w:rsid w:val="00FB610A"/>
    <w:rsid w:val="00FC19D6"/>
    <w:rsid w:val="00FD56E9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0" type="connector" idref="#_x0000_s1041"/>
        <o:r id="V:Rule11" type="connector" idref="#_x0000_s1035"/>
        <o:r id="V:Rule12" type="connector" idref="#_x0000_s1043"/>
        <o:r id="V:Rule13" type="connector" idref="#_x0000_s1036"/>
        <o:r id="V:Rule14" type="connector" idref="#_x0000_s1037"/>
        <o:r id="V:Rule15" type="connector" idref="#_x0000_s1042"/>
        <o:r id="V:Rule16" type="connector" idref="#_x0000_s1038"/>
        <o:r id="V:Rule17" type="connector" idref="#_x0000_s1039"/>
        <o:r id="V:Rule18" type="connector" idref="#_x0000_s1040"/>
      </o:rules>
    </o:shapelayout>
  </w:shapeDefaults>
  <w:decimalSymbol w:val=","/>
  <w:listSeparator w:val=";"/>
  <w14:docId w14:val="0194325B"/>
  <w15:docId w15:val="{446199BB-663B-4037-8A07-3AFC97A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2A72"/>
    <w:pPr>
      <w:spacing w:after="0" w:line="240" w:lineRule="auto"/>
    </w:pPr>
  </w:style>
  <w:style w:type="table" w:styleId="a6">
    <w:name w:val="Table Grid"/>
    <w:basedOn w:val="a1"/>
    <w:uiPriority w:val="59"/>
    <w:rsid w:val="006F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B1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15E1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3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F71B-776C-41C1-B62D-E488A7FC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46</cp:revision>
  <cp:lastPrinted>2025-03-15T20:35:00Z</cp:lastPrinted>
  <dcterms:created xsi:type="dcterms:W3CDTF">2017-02-09T07:15:00Z</dcterms:created>
  <dcterms:modified xsi:type="dcterms:W3CDTF">2025-03-15T20:35:00Z</dcterms:modified>
</cp:coreProperties>
</file>